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华文楷体" w:hAnsi="华文楷体" w:eastAsia="华文楷体" w:cs="华文楷体"/>
          <w:b/>
          <w:sz w:val="32"/>
          <w:szCs w:val="32"/>
        </w:rPr>
      </w:pPr>
      <w:r>
        <w:rPr>
          <w:rFonts w:hint="eastAsia" w:ascii="华文楷体" w:hAnsi="华文楷体" w:eastAsia="华文楷体" w:cs="华文楷体"/>
          <w:b/>
          <w:sz w:val="32"/>
          <w:szCs w:val="32"/>
        </w:rPr>
        <w:t>制浆造纸科学与技术教育部/山东省重点实验室（齐鲁工业大学）2016年度</w:t>
      </w:r>
    </w:p>
    <w:p>
      <w:pPr>
        <w:spacing w:line="0" w:lineRule="atLeast"/>
        <w:jc w:val="center"/>
        <w:rPr>
          <w:b/>
        </w:rPr>
      </w:pPr>
      <w:r>
        <w:rPr>
          <w:rFonts w:hint="eastAsia" w:ascii="华文楷体" w:hAnsi="华文楷体" w:eastAsia="华文楷体" w:cs="华文楷体"/>
          <w:b/>
          <w:sz w:val="32"/>
          <w:szCs w:val="32"/>
        </w:rPr>
        <w:t>(校外)开放基金项目资助名单与金额</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92"/>
        <w:gridCol w:w="7513"/>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1392"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申请人</w:t>
            </w:r>
          </w:p>
        </w:tc>
        <w:tc>
          <w:tcPr>
            <w:tcW w:w="7513"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项目名称</w:t>
            </w:r>
          </w:p>
        </w:tc>
        <w:tc>
          <w:tcPr>
            <w:tcW w:w="3260"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工作单位</w:t>
            </w:r>
          </w:p>
        </w:tc>
        <w:tc>
          <w:tcPr>
            <w:tcW w:w="1276"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马明国</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纳米纤维素/银-氧化钛复合材料的制备及其机理研究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北京林业大学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任俊莉</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高强度木聚糖基纳米复合水凝胶的构建及性能调控</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华南理工大学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宋顺喜</w:t>
            </w:r>
          </w:p>
        </w:tc>
        <w:tc>
          <w:tcPr>
            <w:tcW w:w="7513" w:type="dxa"/>
            <w:vAlign w:val="center"/>
          </w:tcPr>
          <w:p>
            <w:pPr>
              <w:autoSpaceDE w:val="0"/>
              <w:autoSpaceDN w:val="0"/>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填料粒子在纸张纤维网络体系中的聚集行为与调控机制研究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陕西科技大学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牛梅红</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TCF麦草浆用于生活用纸的研究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大连工业大学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杨海涛</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植物细胞壁中不同形态区域木质素沉积机理的研究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湖北工业大学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宋晓明</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有机/无机杂化膜用于造纸废水脱盐性能的研究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青岛科技大学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高文花</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绿藻纳米纤丝纤维素高效分离过程分析</w:t>
            </w:r>
          </w:p>
        </w:tc>
        <w:tc>
          <w:tcPr>
            <w:tcW w:w="3260"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华南理工大学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8</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李静</w:t>
            </w:r>
          </w:p>
        </w:tc>
        <w:tc>
          <w:tcPr>
            <w:tcW w:w="7513" w:type="dxa"/>
            <w:vAlign w:val="center"/>
          </w:tcPr>
          <w:p>
            <w:pPr>
              <w:autoSpaceDE w:val="0"/>
              <w:autoSpaceDN w:val="0"/>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复杂多相体系中高浓溶解木素与活性氧群的反应动力学及机制研究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浙江科技学院</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9</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谢海波</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功能化离子液体水溶液中木质纤维素材料的组分分离、及物理、化学结构调控机理研究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贵州大学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10</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李慧玲</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一步法异相催化木质纤维生物木质纤维生物木质高效制备糠醛的研究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华南农业大学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11</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鲁鹏</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ZnO/氧化石墨烯纳米复合物涂覆纸张抗菌性能研究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广西大学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12</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吕源财</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MoS2/MIL-68(In)复合光催化剂制备及其对造纸废水中五氯酚的降解研究</w:t>
            </w:r>
          </w:p>
        </w:tc>
        <w:tc>
          <w:tcPr>
            <w:tcW w:w="3260" w:type="dxa"/>
            <w:vAlign w:val="center"/>
          </w:tcPr>
          <w:p>
            <w:pPr>
              <w:pStyle w:val="13"/>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福州大学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13</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方志强</w:t>
            </w:r>
          </w:p>
        </w:tc>
        <w:tc>
          <w:tcPr>
            <w:tcW w:w="7513" w:type="dxa"/>
            <w:vAlign w:val="center"/>
          </w:tcPr>
          <w:p>
            <w:pPr>
              <w:spacing w:after="0"/>
              <w:ind w:left="246" w:leftChars="112"/>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应用于薄膜晶体管得纳米纸衬底的研究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华南理工大学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14</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李知函</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特高压电气设备用绝缘纸基复合材料研究与应用</w:t>
            </w:r>
          </w:p>
        </w:tc>
        <w:tc>
          <w:tcPr>
            <w:tcW w:w="3260" w:type="dxa"/>
            <w:vAlign w:val="center"/>
          </w:tcPr>
          <w:p>
            <w:pPr>
              <w:spacing w:line="360" w:lineRule="auto"/>
              <w:jc w:val="center"/>
              <w:rPr>
                <w:rFonts w:ascii="Times New Roman" w:hAnsi="Times New Roman" w:cs="Times New Roman" w:eastAsiaTheme="minorEastAsia"/>
                <w:sz w:val="21"/>
                <w:szCs w:val="21"/>
              </w:rPr>
            </w:pPr>
            <w:bookmarkStart w:id="0" w:name="OLE_LINK6"/>
            <w:bookmarkStart w:id="1" w:name="OLE_LINK5"/>
            <w:r>
              <w:rPr>
                <w:rFonts w:ascii="Times New Roman" w:hAnsi="Times New Roman" w:cs="Times New Roman" w:eastAsiaTheme="minorEastAsia"/>
                <w:sz w:val="21"/>
                <w:szCs w:val="21"/>
              </w:rPr>
              <w:t>湖南工业大学</w:t>
            </w:r>
            <w:bookmarkEnd w:id="0"/>
            <w:bookmarkEnd w:id="1"/>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15</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唐杰斌</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烟草废弃物果胶的分离、表征及其热解特性研究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山东烟草研究院有限公司</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16</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李娜</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瘤胃菌厌氧发酵秸秆甲烷化应用基础研究</w:t>
            </w:r>
          </w:p>
        </w:tc>
        <w:tc>
          <w:tcPr>
            <w:tcW w:w="3260" w:type="dxa"/>
            <w:vAlign w:val="center"/>
          </w:tcPr>
          <w:p>
            <w:pPr>
              <w:pStyle w:val="13"/>
              <w:spacing w:line="360" w:lineRule="auto"/>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大连工业大学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17</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冯清华</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木质纤维素在碱尿素水体系的溶胀、改性及其吸水材料构建</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湖北工业大学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18</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黄方</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生物精炼及生物质化学品开发研究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福建农林大学材料工程学院</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19</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李建国</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纤维素纤维碱/微波体系的高度纯化及其调控机制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福建农林大学材料工程学院</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20</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段超</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银系金属有机框架物/纤维素纤维复合材料的制备及其抗菌性能研究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陕西科技大学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21</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钱立伟</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聚离子液体负载磁性纳米材料的制备及其对偶氮类燃料的吸附作用研究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陕西科技大学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22</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黄丽婕</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改性木薯淀粉纳米晶/废纸纤维基可降解材料的制备及机理研究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广西大学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23</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孔令波</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对流条件下纸张的干燥特性与模型</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天津科技大学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24</w:t>
            </w:r>
          </w:p>
        </w:tc>
        <w:tc>
          <w:tcPr>
            <w:tcW w:w="1392"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刘海棠</w:t>
            </w:r>
          </w:p>
        </w:tc>
        <w:tc>
          <w:tcPr>
            <w:tcW w:w="7513" w:type="dxa"/>
            <w:vAlign w:val="center"/>
          </w:tcPr>
          <w:p>
            <w:pPr>
              <w:spacing w:after="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阔叶木硫酸盐溶解浆预水解液中半纤维素多糖抗氧化性的研究</w:t>
            </w:r>
          </w:p>
        </w:tc>
        <w:tc>
          <w:tcPr>
            <w:tcW w:w="3260" w:type="dxa"/>
            <w:vAlign w:val="center"/>
          </w:tcPr>
          <w:p>
            <w:pPr>
              <w:spacing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天津科技大学</w:t>
            </w:r>
          </w:p>
        </w:tc>
        <w:tc>
          <w:tcPr>
            <w:tcW w:w="1276" w:type="dxa"/>
            <w:vAlign w:val="center"/>
          </w:tcPr>
          <w:p>
            <w:pPr>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bl>
    <w:p>
      <w:pPr>
        <w:rPr>
          <w:rFonts w:asciiTheme="minorEastAsia" w:hAnsiTheme="minorEastAsia" w:eastAsiaTheme="minorEastAsia"/>
          <w:sz w:val="24"/>
          <w:szCs w:val="24"/>
        </w:rPr>
      </w:pPr>
    </w:p>
    <w:p>
      <w:pPr>
        <w:spacing w:line="0" w:lineRule="atLeast"/>
        <w:jc w:val="center"/>
        <w:rPr>
          <w:rFonts w:ascii="华文楷体" w:hAnsi="华文楷体" w:eastAsia="华文楷体" w:cs="华文楷体"/>
          <w:b/>
          <w:sz w:val="32"/>
          <w:szCs w:val="32"/>
        </w:rPr>
      </w:pPr>
      <w:r>
        <w:rPr>
          <w:rFonts w:hint="eastAsia" w:ascii="华文楷体" w:hAnsi="华文楷体" w:eastAsia="华文楷体" w:cs="华文楷体"/>
          <w:b/>
          <w:sz w:val="32"/>
          <w:szCs w:val="32"/>
        </w:rPr>
        <w:t>制浆造纸科学与技术教育部/山东省重点实验室（齐鲁工业大学）2016年度</w:t>
      </w:r>
    </w:p>
    <w:p>
      <w:pPr>
        <w:spacing w:line="0" w:lineRule="atLeast"/>
        <w:jc w:val="center"/>
        <w:rPr>
          <w:b/>
        </w:rPr>
      </w:pPr>
      <w:r>
        <w:rPr>
          <w:rFonts w:hint="eastAsia" w:ascii="华文楷体" w:hAnsi="华文楷体" w:eastAsia="华文楷体" w:cs="华文楷体"/>
          <w:b/>
          <w:sz w:val="32"/>
          <w:szCs w:val="32"/>
        </w:rPr>
        <w:t>(校内)开放基金项目资助名单与金额</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92"/>
        <w:gridCol w:w="7513"/>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1392"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申请人</w:t>
            </w:r>
          </w:p>
        </w:tc>
        <w:tc>
          <w:tcPr>
            <w:tcW w:w="7513"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项目名称</w:t>
            </w:r>
          </w:p>
        </w:tc>
        <w:tc>
          <w:tcPr>
            <w:tcW w:w="3260"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工作单位</w:t>
            </w:r>
          </w:p>
        </w:tc>
        <w:tc>
          <w:tcPr>
            <w:tcW w:w="1276"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1</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何文</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利用木质素合成高性能廉价锂离子电池生物质石墨烯基纳米复合材料</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齐鲁工业大学材料科学与工程学院</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2</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刘伟良</w:t>
            </w:r>
          </w:p>
        </w:tc>
        <w:tc>
          <w:tcPr>
            <w:tcW w:w="7513" w:type="dxa"/>
            <w:vAlign w:val="center"/>
          </w:tcPr>
          <w:p>
            <w:pPr>
              <w:spacing w:after="0" w:line="360" w:lineRule="auto"/>
              <w:ind w:left="246" w:leftChars="112"/>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光催化-吸附技术深度处理造纸污水的研究</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齐鲁工业大学材料科学与工程学院</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3</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王庆</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舌诊图像颜色的精确获取及印刷输出技术</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齐鲁工业大学印刷与包装工程学院</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4</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李效周</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基于阶调映射的高动态范围图像纸媒再现</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齐鲁工业大学印刷与包装工程学院</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5</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宋明明</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耐受造纸废水优势能源微藻的筛选及其利用废水与油脂积累的优化研究</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齐鲁工业大学环境科学与工程学院</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6</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孟武</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玉米秸秆在造纸和生物炼制方面的应用研究</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齐鲁工业大学轻工学部生物工程学院</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0" w:lineRule="atLeast"/>
        <w:jc w:val="center"/>
        <w:rPr>
          <w:rFonts w:ascii="华文楷体" w:hAnsi="华文楷体" w:eastAsia="华文楷体" w:cs="华文楷体"/>
          <w:b/>
          <w:sz w:val="32"/>
          <w:szCs w:val="32"/>
        </w:rPr>
      </w:pPr>
      <w:r>
        <w:rPr>
          <w:rFonts w:hint="eastAsia" w:ascii="华文楷体" w:hAnsi="华文楷体" w:eastAsia="华文楷体" w:cs="华文楷体"/>
          <w:b/>
          <w:sz w:val="32"/>
          <w:szCs w:val="32"/>
        </w:rPr>
        <w:t>制浆造纸科学与技术教育部/山东省重点实验室（齐鲁工业大学）2016年度</w:t>
      </w:r>
    </w:p>
    <w:p>
      <w:pPr>
        <w:spacing w:line="0" w:lineRule="atLeast"/>
        <w:jc w:val="center"/>
        <w:rPr>
          <w:b/>
        </w:rPr>
      </w:pPr>
      <w:r>
        <w:rPr>
          <w:rFonts w:hint="eastAsia" w:ascii="华文楷体" w:hAnsi="华文楷体" w:eastAsia="华文楷体" w:cs="华文楷体"/>
          <w:b/>
          <w:sz w:val="32"/>
          <w:szCs w:val="32"/>
        </w:rPr>
        <w:t>主任基金项目资助名单与金额</w:t>
      </w:r>
    </w:p>
    <w:p>
      <w:pPr>
        <w:rPr>
          <w:rFonts w:asciiTheme="minorEastAsia" w:hAnsiTheme="minorEastAsia" w:eastAsiaTheme="minorEastAsia"/>
          <w:sz w:val="24"/>
          <w:szCs w:val="24"/>
        </w:rPr>
      </w:pP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92"/>
        <w:gridCol w:w="7513"/>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1392"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申请人</w:t>
            </w:r>
          </w:p>
        </w:tc>
        <w:tc>
          <w:tcPr>
            <w:tcW w:w="7513"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项目名称</w:t>
            </w:r>
          </w:p>
        </w:tc>
        <w:tc>
          <w:tcPr>
            <w:tcW w:w="3260"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工作单位</w:t>
            </w:r>
          </w:p>
        </w:tc>
        <w:tc>
          <w:tcPr>
            <w:tcW w:w="1276"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1</w:t>
            </w:r>
          </w:p>
        </w:tc>
        <w:tc>
          <w:tcPr>
            <w:tcW w:w="1392"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林兆云</w:t>
            </w:r>
          </w:p>
        </w:tc>
        <w:tc>
          <w:tcPr>
            <w:tcW w:w="7513"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乳状液膜对制浆黑液中木质素分离提取效率的研究</w:t>
            </w:r>
          </w:p>
        </w:tc>
        <w:tc>
          <w:tcPr>
            <w:tcW w:w="3260"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齐鲁工业大学造纸与植物资源工程学院</w:t>
            </w:r>
          </w:p>
        </w:tc>
        <w:tc>
          <w:tcPr>
            <w:tcW w:w="1276" w:type="dxa"/>
            <w:vAlign w:val="center"/>
          </w:tcPr>
          <w:p>
            <w:pPr>
              <w:spacing w:after="0"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2</w:t>
            </w:r>
          </w:p>
        </w:tc>
        <w:tc>
          <w:tcPr>
            <w:tcW w:w="1392"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陈业红</w:t>
            </w:r>
          </w:p>
        </w:tc>
        <w:tc>
          <w:tcPr>
            <w:tcW w:w="7513"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数字印刷中彩色图像智能化质量评价模型的研究</w:t>
            </w:r>
          </w:p>
        </w:tc>
        <w:tc>
          <w:tcPr>
            <w:tcW w:w="3260"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齐鲁工业大学印刷与包装工程学院</w:t>
            </w:r>
          </w:p>
        </w:tc>
        <w:tc>
          <w:tcPr>
            <w:tcW w:w="1276" w:type="dxa"/>
            <w:vAlign w:val="center"/>
          </w:tcPr>
          <w:p>
            <w:pPr>
              <w:spacing w:after="0"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3</w:t>
            </w:r>
          </w:p>
        </w:tc>
        <w:tc>
          <w:tcPr>
            <w:tcW w:w="1392"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熊开峰</w:t>
            </w:r>
          </w:p>
        </w:tc>
        <w:tc>
          <w:tcPr>
            <w:tcW w:w="7513"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玉米秸秆高剪切有机酸解/选择氧化体系一步法制备纳米纤维素及其机制</w:t>
            </w:r>
          </w:p>
        </w:tc>
        <w:tc>
          <w:tcPr>
            <w:tcW w:w="3260"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齐鲁工业大学轻工学部</w:t>
            </w:r>
          </w:p>
        </w:tc>
        <w:tc>
          <w:tcPr>
            <w:tcW w:w="1276" w:type="dxa"/>
            <w:vAlign w:val="center"/>
          </w:tcPr>
          <w:p>
            <w:pPr>
              <w:spacing w:after="0"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4</w:t>
            </w:r>
          </w:p>
        </w:tc>
        <w:tc>
          <w:tcPr>
            <w:tcW w:w="1392"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孙洋洋</w:t>
            </w:r>
          </w:p>
        </w:tc>
        <w:tc>
          <w:tcPr>
            <w:tcW w:w="7513"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以椰康为碳源发酵培养细菌纤维素的研究</w:t>
            </w:r>
          </w:p>
        </w:tc>
        <w:tc>
          <w:tcPr>
            <w:tcW w:w="3260" w:type="dxa"/>
            <w:vAlign w:val="center"/>
          </w:tcPr>
          <w:p>
            <w:pPr>
              <w:spacing w:after="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齐鲁工业大学造纸与植物资源工程学院</w:t>
            </w:r>
          </w:p>
        </w:tc>
        <w:tc>
          <w:tcPr>
            <w:tcW w:w="1276" w:type="dxa"/>
            <w:vAlign w:val="center"/>
          </w:tcPr>
          <w:p>
            <w:pPr>
              <w:spacing w:after="0"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1</w:t>
            </w: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0" w:lineRule="atLeast"/>
        <w:jc w:val="center"/>
        <w:rPr>
          <w:rFonts w:ascii="华文楷体" w:hAnsi="华文楷体" w:eastAsia="华文楷体" w:cs="华文楷体"/>
          <w:b/>
          <w:sz w:val="32"/>
          <w:szCs w:val="32"/>
        </w:rPr>
      </w:pPr>
      <w:r>
        <w:rPr>
          <w:rFonts w:hint="eastAsia" w:ascii="华文楷体" w:hAnsi="华文楷体" w:eastAsia="华文楷体" w:cs="华文楷体"/>
          <w:b/>
          <w:sz w:val="32"/>
          <w:szCs w:val="32"/>
        </w:rPr>
        <w:t>制浆造纸科学与技术教育部/山东省重点实验室（齐鲁工业大学）2016年度</w:t>
      </w:r>
    </w:p>
    <w:p>
      <w:pPr>
        <w:spacing w:line="0" w:lineRule="atLeast"/>
        <w:jc w:val="center"/>
        <w:rPr>
          <w:rFonts w:ascii="华文楷体" w:hAnsi="华文楷体" w:eastAsia="华文楷体" w:cs="华文楷体"/>
          <w:b/>
          <w:sz w:val="32"/>
          <w:szCs w:val="32"/>
        </w:rPr>
      </w:pPr>
      <w:r>
        <w:rPr>
          <w:rFonts w:hint="eastAsia" w:ascii="华文楷体" w:hAnsi="华文楷体" w:eastAsia="华文楷体" w:cs="华文楷体"/>
          <w:b/>
          <w:sz w:val="32"/>
          <w:szCs w:val="32"/>
        </w:rPr>
        <w:t>国际合作开放基金项目资助名单与金额</w:t>
      </w:r>
    </w:p>
    <w:p>
      <w:pPr>
        <w:rPr>
          <w:rFonts w:asciiTheme="minorEastAsia" w:hAnsiTheme="minorEastAsia" w:eastAsiaTheme="minorEastAsia"/>
          <w:sz w:val="24"/>
          <w:szCs w:val="24"/>
        </w:rPr>
      </w:pP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92"/>
        <w:gridCol w:w="7513"/>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1392"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申请人</w:t>
            </w:r>
          </w:p>
        </w:tc>
        <w:tc>
          <w:tcPr>
            <w:tcW w:w="7513"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项目名称</w:t>
            </w:r>
          </w:p>
        </w:tc>
        <w:tc>
          <w:tcPr>
            <w:tcW w:w="3260"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工作单位</w:t>
            </w:r>
          </w:p>
        </w:tc>
        <w:tc>
          <w:tcPr>
            <w:tcW w:w="1276" w:type="dxa"/>
            <w:vAlign w:val="center"/>
          </w:tcPr>
          <w:p>
            <w:pPr>
              <w:spacing w:after="0"/>
              <w:jc w:val="center"/>
              <w:rPr>
                <w:rFonts w:ascii="宋体" w:hAnsi="宋体" w:cs="宋体"/>
                <w:b/>
                <w:bCs/>
                <w:color w:val="000000"/>
                <w:sz w:val="21"/>
                <w:szCs w:val="21"/>
              </w:rPr>
            </w:pPr>
            <w:r>
              <w:rPr>
                <w:rFonts w:hint="eastAsia" w:ascii="宋体" w:hAnsi="宋体" w:cs="宋体"/>
                <w:b/>
                <w:bCs/>
                <w:color w:val="000000"/>
                <w:sz w:val="21"/>
                <w:szCs w:val="21"/>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1</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Guosheng Wu</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Nonmetal photocatalytic hydrogen production from water and biomass</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多伦多大学</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2</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Baoqiang Liao</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Membrane Technologies for Biorefinery and Bioenergy Production</w:t>
            </w:r>
          </w:p>
        </w:tc>
        <w:tc>
          <w:tcPr>
            <w:tcW w:w="3260"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湖首大学</w:t>
            </w:r>
          </w:p>
        </w:tc>
        <w:tc>
          <w:tcPr>
            <w:tcW w:w="1276" w:type="dxa"/>
            <w:vAlign w:val="center"/>
          </w:tcPr>
          <w:p>
            <w:pPr>
              <w:spacing w:after="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1" w:type="dxa"/>
            <w:vAlign w:val="center"/>
          </w:tcPr>
          <w:p>
            <w:pPr>
              <w:spacing w:after="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3</w:t>
            </w:r>
          </w:p>
        </w:tc>
        <w:tc>
          <w:tcPr>
            <w:tcW w:w="1392"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HasanJameel</w:t>
            </w:r>
          </w:p>
        </w:tc>
        <w:tc>
          <w:tcPr>
            <w:tcW w:w="7513"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BIO-BASED DRY/WET STRENGTH AGENTS FOR STRONGER RECYCLED OCC PRODUCTS</w:t>
            </w:r>
          </w:p>
        </w:tc>
        <w:tc>
          <w:tcPr>
            <w:tcW w:w="3260" w:type="dxa"/>
            <w:vAlign w:val="center"/>
          </w:tcPr>
          <w:p>
            <w:pPr>
              <w:autoSpaceDE w:val="0"/>
              <w:autoSpaceDN w:val="0"/>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北卡罗</w:t>
            </w:r>
            <w:r>
              <w:rPr>
                <w:rFonts w:hint="eastAsia" w:ascii="Times New Roman" w:hAnsi="Times New Roman" w:cs="Times New Roman" w:eastAsiaTheme="minorEastAsia"/>
                <w:sz w:val="21"/>
                <w:szCs w:val="21"/>
                <w:lang w:val="en-US" w:eastAsia="zh-CN"/>
              </w:rPr>
              <w:t>莱</w:t>
            </w:r>
            <w:bookmarkStart w:id="2" w:name="_GoBack"/>
            <w:bookmarkEnd w:id="2"/>
            <w:r>
              <w:rPr>
                <w:rFonts w:ascii="Times New Roman" w:hAnsi="Times New Roman" w:cs="Times New Roman" w:eastAsiaTheme="minorEastAsia"/>
                <w:sz w:val="21"/>
                <w:szCs w:val="21"/>
              </w:rPr>
              <w:t>纳</w:t>
            </w:r>
            <w:r>
              <w:rPr>
                <w:rFonts w:hint="eastAsia" w:ascii="Times New Roman" w:hAnsi="Times New Roman" w:cs="Times New Roman" w:eastAsiaTheme="minorEastAsia"/>
                <w:sz w:val="21"/>
                <w:szCs w:val="21"/>
                <w:lang w:val="en-US" w:eastAsia="zh-CN"/>
              </w:rPr>
              <w:t>州立</w:t>
            </w:r>
            <w:r>
              <w:rPr>
                <w:rFonts w:ascii="Times New Roman" w:hAnsi="Times New Roman" w:cs="Times New Roman" w:eastAsiaTheme="minorEastAsia"/>
                <w:sz w:val="21"/>
                <w:szCs w:val="21"/>
              </w:rPr>
              <w:t>大学</w:t>
            </w:r>
          </w:p>
        </w:tc>
        <w:tc>
          <w:tcPr>
            <w:tcW w:w="1276" w:type="dxa"/>
            <w:vAlign w:val="center"/>
          </w:tcPr>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5</w:t>
            </w:r>
          </w:p>
        </w:tc>
      </w:tr>
    </w:tbl>
    <w:p>
      <w:pPr>
        <w:rPr>
          <w:rFonts w:asciiTheme="minorEastAsia" w:hAnsiTheme="minorEastAsia" w:eastAsiaTheme="minorEastAsia"/>
          <w:sz w:val="24"/>
          <w:szCs w:val="24"/>
        </w:rPr>
      </w:pPr>
    </w:p>
    <w:sectPr>
      <w:footerReference r:id="rId3" w:type="default"/>
      <w:pgSz w:w="16838" w:h="11906" w:orient="landscape"/>
      <w:pgMar w:top="1418" w:right="1440" w:bottom="1418" w:left="1440" w:header="709" w:footer="709" w:gutter="0"/>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10344"/>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31D50"/>
    <w:rsid w:val="000052AC"/>
    <w:rsid w:val="00065553"/>
    <w:rsid w:val="000713C6"/>
    <w:rsid w:val="00077635"/>
    <w:rsid w:val="000B28FE"/>
    <w:rsid w:val="000E42D4"/>
    <w:rsid w:val="00117CDD"/>
    <w:rsid w:val="00152008"/>
    <w:rsid w:val="001625EF"/>
    <w:rsid w:val="001747C4"/>
    <w:rsid w:val="001B46C1"/>
    <w:rsid w:val="001E0375"/>
    <w:rsid w:val="001E5A8F"/>
    <w:rsid w:val="001F00BC"/>
    <w:rsid w:val="0020797E"/>
    <w:rsid w:val="00212CE7"/>
    <w:rsid w:val="00225E3C"/>
    <w:rsid w:val="002615BA"/>
    <w:rsid w:val="00283E04"/>
    <w:rsid w:val="002D07F9"/>
    <w:rsid w:val="002D1B11"/>
    <w:rsid w:val="002D74B1"/>
    <w:rsid w:val="003002A5"/>
    <w:rsid w:val="003106A2"/>
    <w:rsid w:val="00323B43"/>
    <w:rsid w:val="00326A72"/>
    <w:rsid w:val="003357F6"/>
    <w:rsid w:val="0034181B"/>
    <w:rsid w:val="003612A4"/>
    <w:rsid w:val="00370F1D"/>
    <w:rsid w:val="00392A8A"/>
    <w:rsid w:val="00396542"/>
    <w:rsid w:val="003C2E53"/>
    <w:rsid w:val="003C5A23"/>
    <w:rsid w:val="003D0F19"/>
    <w:rsid w:val="003D37D8"/>
    <w:rsid w:val="003D6534"/>
    <w:rsid w:val="003E63B1"/>
    <w:rsid w:val="00426133"/>
    <w:rsid w:val="004358AB"/>
    <w:rsid w:val="00441E23"/>
    <w:rsid w:val="004758A2"/>
    <w:rsid w:val="00481212"/>
    <w:rsid w:val="004817DF"/>
    <w:rsid w:val="004832BD"/>
    <w:rsid w:val="00486CE2"/>
    <w:rsid w:val="00494BD9"/>
    <w:rsid w:val="004B34B6"/>
    <w:rsid w:val="004D75E4"/>
    <w:rsid w:val="005033D4"/>
    <w:rsid w:val="00507214"/>
    <w:rsid w:val="0051293D"/>
    <w:rsid w:val="00524BDD"/>
    <w:rsid w:val="0054776B"/>
    <w:rsid w:val="00570AB0"/>
    <w:rsid w:val="00583675"/>
    <w:rsid w:val="00591BC1"/>
    <w:rsid w:val="005950A9"/>
    <w:rsid w:val="005A6EB2"/>
    <w:rsid w:val="005B4DA3"/>
    <w:rsid w:val="005C705D"/>
    <w:rsid w:val="005D4553"/>
    <w:rsid w:val="005F157A"/>
    <w:rsid w:val="006164B5"/>
    <w:rsid w:val="00630BF1"/>
    <w:rsid w:val="006363AC"/>
    <w:rsid w:val="006411C9"/>
    <w:rsid w:val="00675866"/>
    <w:rsid w:val="00686554"/>
    <w:rsid w:val="006923C3"/>
    <w:rsid w:val="006A2F05"/>
    <w:rsid w:val="006F15AD"/>
    <w:rsid w:val="007240E4"/>
    <w:rsid w:val="00727E15"/>
    <w:rsid w:val="00730D72"/>
    <w:rsid w:val="00732AB8"/>
    <w:rsid w:val="00737155"/>
    <w:rsid w:val="007A2C79"/>
    <w:rsid w:val="007B7DA5"/>
    <w:rsid w:val="007D6E71"/>
    <w:rsid w:val="007F3F7B"/>
    <w:rsid w:val="007F45CE"/>
    <w:rsid w:val="00811A1D"/>
    <w:rsid w:val="00855880"/>
    <w:rsid w:val="00867194"/>
    <w:rsid w:val="00871FFE"/>
    <w:rsid w:val="008751AD"/>
    <w:rsid w:val="00875CC2"/>
    <w:rsid w:val="00877CFF"/>
    <w:rsid w:val="00883142"/>
    <w:rsid w:val="008918BD"/>
    <w:rsid w:val="0089337B"/>
    <w:rsid w:val="008B7726"/>
    <w:rsid w:val="00936092"/>
    <w:rsid w:val="0093781C"/>
    <w:rsid w:val="009525FB"/>
    <w:rsid w:val="0095416D"/>
    <w:rsid w:val="00990692"/>
    <w:rsid w:val="00995974"/>
    <w:rsid w:val="00996F58"/>
    <w:rsid w:val="009E59A7"/>
    <w:rsid w:val="00A0150A"/>
    <w:rsid w:val="00A050A6"/>
    <w:rsid w:val="00A109F2"/>
    <w:rsid w:val="00A11462"/>
    <w:rsid w:val="00A15198"/>
    <w:rsid w:val="00A16DF9"/>
    <w:rsid w:val="00A224E2"/>
    <w:rsid w:val="00A63B41"/>
    <w:rsid w:val="00A76B7A"/>
    <w:rsid w:val="00A77A6D"/>
    <w:rsid w:val="00A937A1"/>
    <w:rsid w:val="00AA3A8D"/>
    <w:rsid w:val="00AD2A57"/>
    <w:rsid w:val="00AF1E96"/>
    <w:rsid w:val="00B231C4"/>
    <w:rsid w:val="00B37716"/>
    <w:rsid w:val="00B61621"/>
    <w:rsid w:val="00B84987"/>
    <w:rsid w:val="00B95289"/>
    <w:rsid w:val="00BD1A87"/>
    <w:rsid w:val="00BE5210"/>
    <w:rsid w:val="00C64F15"/>
    <w:rsid w:val="00CC785C"/>
    <w:rsid w:val="00CF695F"/>
    <w:rsid w:val="00D31D50"/>
    <w:rsid w:val="00D46AE3"/>
    <w:rsid w:val="00D5096B"/>
    <w:rsid w:val="00D551AD"/>
    <w:rsid w:val="00D63F1C"/>
    <w:rsid w:val="00D64193"/>
    <w:rsid w:val="00D70F33"/>
    <w:rsid w:val="00D90A42"/>
    <w:rsid w:val="00DD0A61"/>
    <w:rsid w:val="00DD4D33"/>
    <w:rsid w:val="00DD56DC"/>
    <w:rsid w:val="00DE67C9"/>
    <w:rsid w:val="00DF4531"/>
    <w:rsid w:val="00E22873"/>
    <w:rsid w:val="00E2675F"/>
    <w:rsid w:val="00E45B33"/>
    <w:rsid w:val="00E65099"/>
    <w:rsid w:val="00E8239D"/>
    <w:rsid w:val="00E85919"/>
    <w:rsid w:val="00EF6D7D"/>
    <w:rsid w:val="00F06386"/>
    <w:rsid w:val="00F06502"/>
    <w:rsid w:val="00F07810"/>
    <w:rsid w:val="00F23FA5"/>
    <w:rsid w:val="00F2455B"/>
    <w:rsid w:val="00F26DE3"/>
    <w:rsid w:val="00F3013B"/>
    <w:rsid w:val="00F321A1"/>
    <w:rsid w:val="00F37568"/>
    <w:rsid w:val="00F7755F"/>
    <w:rsid w:val="00F90E54"/>
    <w:rsid w:val="00FA12E6"/>
    <w:rsid w:val="00FA6AC7"/>
    <w:rsid w:val="00FB3EA2"/>
    <w:rsid w:val="00FD232C"/>
    <w:rsid w:val="00FD526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rFonts w:ascii="Tahoma" w:hAnsi="Tahoma"/>
      <w:sz w:val="18"/>
      <w:szCs w:val="18"/>
    </w:rPr>
  </w:style>
  <w:style w:type="character" w:customStyle="1" w:styleId="8">
    <w:name w:val="页脚 Char"/>
    <w:basedOn w:val="4"/>
    <w:link w:val="2"/>
    <w:uiPriority w:val="99"/>
    <w:rPr>
      <w:rFonts w:ascii="Tahoma" w:hAnsi="Tahoma"/>
      <w:sz w:val="18"/>
      <w:szCs w:val="18"/>
    </w:rPr>
  </w:style>
  <w:style w:type="paragraph" w:customStyle="1" w:styleId="9">
    <w:name w:val="Char"/>
    <w:basedOn w:val="1"/>
    <w:uiPriority w:val="0"/>
    <w:pPr>
      <w:adjustRightInd/>
      <w:snapToGrid/>
      <w:spacing w:after="160" w:line="240" w:lineRule="exact"/>
    </w:pPr>
    <w:rPr>
      <w:rFonts w:ascii="Times New Roman" w:hAnsi="Times New Roman" w:eastAsia="宋体" w:cs="Times New Roman"/>
      <w:sz w:val="24"/>
      <w:szCs w:val="24"/>
      <w:lang w:eastAsia="en-US"/>
    </w:rPr>
  </w:style>
  <w:style w:type="character" w:customStyle="1" w:styleId="10">
    <w:name w:val="maintitle"/>
    <w:basedOn w:val="4"/>
    <w:qFormat/>
    <w:uiPriority w:val="0"/>
  </w:style>
  <w:style w:type="paragraph" w:customStyle="1" w:styleId="11">
    <w:name w:val="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4"/>
    </w:rPr>
  </w:style>
  <w:style w:type="paragraph" w:customStyle="1" w:styleId="12">
    <w:name w:val="Char1"/>
    <w:basedOn w:val="1"/>
    <w:qFormat/>
    <w:uiPriority w:val="0"/>
    <w:pPr>
      <w:adjustRightInd/>
      <w:snapToGrid/>
      <w:spacing w:after="160" w:line="240" w:lineRule="exact"/>
    </w:pPr>
    <w:rPr>
      <w:rFonts w:ascii="Arial" w:hAnsi="Arial" w:eastAsia="Times New Roman" w:cs="Verdana"/>
      <w:b/>
      <w:sz w:val="24"/>
      <w:szCs w:val="24"/>
      <w:lang w:eastAsia="en-US"/>
    </w:rPr>
  </w:style>
  <w:style w:type="paragraph" w:customStyle="1" w:styleId="13">
    <w:name w:val="Default"/>
    <w:qForma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B803D-06F3-4239-8BC1-C06A0B8F9BB8}">
  <ds:schemaRefs/>
</ds:datastoreItem>
</file>

<file path=docProps/app.xml><?xml version="1.0" encoding="utf-8"?>
<Properties xmlns="http://schemas.openxmlformats.org/officeDocument/2006/extended-properties" xmlns:vt="http://schemas.openxmlformats.org/officeDocument/2006/docPropsVTypes">
  <Template>Normal</Template>
  <Pages>5</Pages>
  <Words>312</Words>
  <Characters>1782</Characters>
  <Lines>14</Lines>
  <Paragraphs>4</Paragraphs>
  <TotalTime>0</TotalTime>
  <ScaleCrop>false</ScaleCrop>
  <LinksUpToDate>false</LinksUpToDate>
  <CharactersWithSpaces>2090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cheng</cp:lastModifiedBy>
  <cp:lastPrinted>2014-12-19T01:15:00Z</cp:lastPrinted>
  <dcterms:modified xsi:type="dcterms:W3CDTF">2017-01-20T02:37:27Z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